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40" w:rsidRPr="00826E47" w:rsidRDefault="00112540" w:rsidP="00112540">
      <w:pPr>
        <w:pStyle w:val="Tabela-Ttulosemnumerao"/>
        <w:widowControl w:val="0"/>
        <w:rPr>
          <w:lang w:eastAsia="ja-JP"/>
        </w:rPr>
      </w:pPr>
      <w:bookmarkStart w:id="0" w:name="_GoBack"/>
      <w:bookmarkEnd w:id="0"/>
      <w:r w:rsidRPr="00826E47">
        <w:rPr>
          <w:rFonts w:cs="Arial"/>
          <w:szCs w:val="22"/>
        </w:rPr>
        <w:t>Prazos de garantia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8"/>
        <w:gridCol w:w="1701"/>
        <w:gridCol w:w="1311"/>
        <w:gridCol w:w="1561"/>
        <w:gridCol w:w="1705"/>
      </w:tblGrid>
      <w:tr w:rsidR="00112540" w:rsidRPr="00826E47" w:rsidTr="00187574">
        <w:trPr>
          <w:cantSplit/>
          <w:trHeight w:val="799"/>
          <w:jc w:val="center"/>
        </w:trPr>
        <w:tc>
          <w:tcPr>
            <w:tcW w:w="3728" w:type="dxa"/>
            <w:vMerge w:val="restart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Sistemas, elementos, componentes e instalações</w:t>
            </w:r>
          </w:p>
        </w:tc>
        <w:tc>
          <w:tcPr>
            <w:tcW w:w="6278" w:type="dxa"/>
            <w:gridSpan w:val="4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 xml:space="preserve">Prazos de garantia </w:t>
            </w:r>
            <w:r w:rsidRPr="00826E47">
              <w:rPr>
                <w:rStyle w:val="Forte"/>
                <w:rFonts w:cs="Arial"/>
                <w:b/>
                <w:szCs w:val="20"/>
              </w:rPr>
              <w:t>recomendados</w:t>
            </w: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Merge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1 ano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2 anos</w:t>
            </w:r>
          </w:p>
        </w:tc>
        <w:tc>
          <w:tcPr>
            <w:tcW w:w="1561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3 anos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5 anos</w:t>
            </w: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Fundações, estrutura principal, estruturas periféricas, contenções e arrimos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Segurança e estabilidade global Estanqueidade de fundações e contenções</w:t>
            </w: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Paredes de vedação, estruturas auxiliares, estruturas de cobertura, estrutura das escadarias internas</w:t>
            </w:r>
            <w:r w:rsidRPr="00826E47">
              <w:rPr>
                <w:rFonts w:cs="Arial"/>
                <w:szCs w:val="20"/>
              </w:rPr>
              <w:br/>
              <w:t>ou externas, guarda-corpos, muros de divisa e telhados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Segurança e integridade</w:t>
            </w: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Equipamentos industrializados (aquecedores de passagem ou acumulação, motobombas, filtros, interfone, automação de portões, elevadores e outros) </w:t>
            </w:r>
          </w:p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Sistemas de dados e voz, telefonia, vídeo e televisão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Instalação</w:t>
            </w:r>
          </w:p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Equipamentos</w:t>
            </w:r>
          </w:p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Sistema de proteção contra descargas atmosféricas, sistema de combate a incêndio, pressurização das escadas, iluminação de emergência, sistema de segurança patrimonial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Instalação</w:t>
            </w:r>
          </w:p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Equipamentos</w:t>
            </w:r>
          </w:p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Porta corta-fogo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Dobradiças e molas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Integridade de portas e batentes</w:t>
            </w: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Instalações elétricas</w:t>
            </w:r>
          </w:p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tomadas/interruptores/disjuntores/fios/cabos/eletrodutos/caixas e quadros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Equipamentos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Instalação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Instalações hidráulicas - colunas de água fria, colunas de água quente, tubos de queda de esgoto.</w:t>
            </w:r>
          </w:p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Instalações de gás - colunas de gás.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Integridade e </w:t>
            </w:r>
            <w:r w:rsidRPr="00A2648B">
              <w:rPr>
                <w:rStyle w:val="nfaseIntensa"/>
                <w:b w:val="0"/>
                <w:i w:val="0"/>
              </w:rPr>
              <w:t>estanqueidade</w:t>
            </w: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Instalações hidráulicas e gás coletores/ramais/louças/caixas de descarga/bancadas/metais sanitários/sifões/ligações flexíveis/ válvulas/registros/ralos/tanques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Equipamentos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Instalação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87574">
        <w:trPr>
          <w:cantSplit/>
          <w:jc w:val="center"/>
        </w:trPr>
        <w:tc>
          <w:tcPr>
            <w:tcW w:w="3728" w:type="dxa"/>
            <w:vAlign w:val="center"/>
          </w:tcPr>
          <w:p w:rsidR="00112540" w:rsidRPr="00826E47" w:rsidRDefault="00112540" w:rsidP="001875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Impermeabilização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Estanqueidade</w:t>
            </w:r>
          </w:p>
        </w:tc>
      </w:tr>
    </w:tbl>
    <w:p w:rsidR="00112540" w:rsidRDefault="00112540" w:rsidP="00112540">
      <w:pPr>
        <w:pStyle w:val="Tabela-Ttulosemnumerao"/>
        <w:widowControl w:val="0"/>
        <w:spacing w:before="0"/>
        <w:jc w:val="left"/>
        <w:rPr>
          <w:lang w:eastAsia="ja-JP"/>
        </w:rPr>
      </w:pPr>
    </w:p>
    <w:p w:rsidR="00112540" w:rsidRPr="00826E47" w:rsidRDefault="00112540" w:rsidP="00112540">
      <w:pPr>
        <w:pStyle w:val="Tabela-Ttulosemnumerao"/>
        <w:widowControl w:val="0"/>
        <w:spacing w:before="0"/>
        <w:jc w:val="left"/>
        <w:rPr>
          <w:lang w:eastAsia="ja-JP"/>
        </w:rPr>
      </w:pP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31"/>
        <w:gridCol w:w="1620"/>
        <w:gridCol w:w="1561"/>
        <w:gridCol w:w="1705"/>
      </w:tblGrid>
      <w:tr w:rsidR="00112540" w:rsidRPr="00826E47" w:rsidTr="00112540">
        <w:trPr>
          <w:cantSplit/>
          <w:trHeight w:val="799"/>
          <w:jc w:val="center"/>
        </w:trPr>
        <w:tc>
          <w:tcPr>
            <w:tcW w:w="3189" w:type="dxa"/>
            <w:vMerge w:val="restart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lastRenderedPageBreak/>
              <w:t>Sistemas, elementos, componentes e instalações</w:t>
            </w:r>
          </w:p>
        </w:tc>
        <w:tc>
          <w:tcPr>
            <w:tcW w:w="6817" w:type="dxa"/>
            <w:gridSpan w:val="4"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 xml:space="preserve">Prazos de garantia </w:t>
            </w:r>
            <w:r w:rsidRPr="00826E47">
              <w:rPr>
                <w:rStyle w:val="Forte"/>
                <w:rFonts w:cs="Arial"/>
                <w:b/>
                <w:szCs w:val="20"/>
              </w:rPr>
              <w:t>recomendados</w:t>
            </w: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Merge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931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1 ano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2 anos</w:t>
            </w:r>
          </w:p>
        </w:tc>
        <w:tc>
          <w:tcPr>
            <w:tcW w:w="1561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3 anos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5 anos</w:t>
            </w: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Esquadrias de madeira 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Empenamento Descolamento </w:t>
            </w:r>
          </w:p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Fixação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Esquadrias de aço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Fixação</w:t>
            </w:r>
          </w:p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Oxidação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Esquadrias de alumínio e de PVC 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Partes móveis (inclusive recolhedores de palhetas, motores e conjuntos elétricos de acionamento)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Borrachas, escovas, articulações, fechos e roldanas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Perfis de alumínio, fixadores e revestimentos em painel de alumínio</w:t>
            </w: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Fechaduras e ferragens em geral 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Funcionamento</w:t>
            </w:r>
          </w:p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Acabamento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pStyle w:val="Corpodetexto3"/>
              <w:widowControl w:val="0"/>
              <w:spacing w:before="40" w:after="40" w:line="240" w:lineRule="auto"/>
              <w:rPr>
                <w:rFonts w:cs="Arial"/>
                <w:b/>
                <w:sz w:val="20"/>
              </w:rPr>
            </w:pPr>
            <w:r w:rsidRPr="00826E47">
              <w:rPr>
                <w:rFonts w:cs="Arial"/>
                <w:sz w:val="20"/>
              </w:rPr>
              <w:t>Revestimentos de paredes, pisos</w:t>
            </w:r>
            <w:r w:rsidRPr="00826E47">
              <w:rPr>
                <w:rFonts w:cs="Arial"/>
                <w:sz w:val="20"/>
              </w:rPr>
              <w:br/>
              <w:t xml:space="preserve">e tetos internos e externos em argamassa/gesso liso/ componentes de gesso </w:t>
            </w:r>
            <w:r w:rsidRPr="00826E47">
              <w:rPr>
                <w:rFonts w:cs="Arial"/>
                <w:bCs/>
                <w:iCs/>
                <w:sz w:val="20"/>
              </w:rPr>
              <w:t>para drywall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Fissuras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Estanqueidade de fachadas e pisos </w:t>
            </w:r>
            <w:r w:rsidRPr="00A2648B">
              <w:rPr>
                <w:rStyle w:val="nfaseIntensa"/>
                <w:b w:val="0"/>
                <w:i w:val="0"/>
              </w:rPr>
              <w:t>em áreas molhadas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Má aderência do revestimento e dos componentes do sistema</w:t>
            </w: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Revestimentos de paredes, pisos e tetos em azulejo/cerâmica/pastilhas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Revestimentos soltos, gretados, desgaste excessivo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Estanqueidade de fachadas e pisos </w:t>
            </w:r>
            <w:r w:rsidRPr="00A2648B">
              <w:rPr>
                <w:rStyle w:val="nfaseIntensa"/>
                <w:b w:val="0"/>
                <w:i w:val="0"/>
              </w:rPr>
              <w:t>em áreas molhadas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Revestimentos de paredes, pisos</w:t>
            </w:r>
            <w:r w:rsidRPr="00826E47">
              <w:rPr>
                <w:rFonts w:cs="Arial"/>
                <w:szCs w:val="20"/>
              </w:rPr>
              <w:br/>
              <w:t>e teto em pedras naturais</w:t>
            </w:r>
            <w:r w:rsidRPr="00826E47">
              <w:rPr>
                <w:rFonts w:cs="Arial"/>
                <w:szCs w:val="20"/>
              </w:rPr>
              <w:br/>
              <w:t>(mármore, granito e outros)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Revestimentos soltos, gretados, desgaste excessivo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Estanqueidade de fachadas e pisos</w:t>
            </w:r>
            <w:r w:rsidRPr="00826E47">
              <w:rPr>
                <w:rStyle w:val="nfaseIntensa"/>
              </w:rPr>
              <w:t xml:space="preserve"> </w:t>
            </w:r>
            <w:r w:rsidRPr="00A2648B">
              <w:rPr>
                <w:rStyle w:val="nfaseIntensa"/>
                <w:b w:val="0"/>
                <w:i w:val="0"/>
              </w:rPr>
              <w:t>em áreas molhadas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Pisos de madeira – tacos, assoalhos e </w:t>
            </w:r>
            <w:r w:rsidRPr="00826E47">
              <w:rPr>
                <w:rFonts w:cs="Arial"/>
                <w:i/>
                <w:szCs w:val="20"/>
              </w:rPr>
              <w:t>decks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Empenamento, trincas na madeira e destacamento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Piso cimentado, piso acabado em concreto, contrapiso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Destacamentos, fissuras, desgaste excessivo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 xml:space="preserve">Estanqueidade de pisos </w:t>
            </w:r>
            <w:r w:rsidRPr="00A2648B">
              <w:rPr>
                <w:rStyle w:val="nfaseIntensa"/>
                <w:b w:val="0"/>
                <w:i w:val="0"/>
              </w:rPr>
              <w:t>em áreas molhadas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Revestimentos especiais (fórmica, plásticos, têxteis, pisos elevados, materiais compostos de alumínio)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Aderência</w:t>
            </w:r>
          </w:p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Forros de madeira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Empenamento, trincas na madeira e destacamento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:rsidR="00112540" w:rsidRPr="00112540" w:rsidRDefault="00112540" w:rsidP="00112540">
      <w:pPr>
        <w:spacing w:after="120"/>
        <w:rPr>
          <w:rFonts w:ascii="Arial" w:hAnsi="Arial" w:cs="Arial"/>
          <w:b/>
          <w:sz w:val="24"/>
          <w:szCs w:val="24"/>
        </w:rPr>
      </w:pP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31"/>
        <w:gridCol w:w="1620"/>
        <w:gridCol w:w="1561"/>
        <w:gridCol w:w="1705"/>
      </w:tblGrid>
      <w:tr w:rsidR="00112540" w:rsidRPr="00826E47" w:rsidTr="00112540">
        <w:trPr>
          <w:cantSplit/>
          <w:trHeight w:val="799"/>
          <w:jc w:val="center"/>
        </w:trPr>
        <w:tc>
          <w:tcPr>
            <w:tcW w:w="3189" w:type="dxa"/>
            <w:vMerge w:val="restart"/>
            <w:tcBorders>
              <w:top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lastRenderedPageBreak/>
              <w:t>Sistemas, elementos, componentes e instalações</w:t>
            </w:r>
          </w:p>
        </w:tc>
        <w:tc>
          <w:tcPr>
            <w:tcW w:w="6817" w:type="dxa"/>
            <w:gridSpan w:val="4"/>
            <w:tcBorders>
              <w:top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 xml:space="preserve">Prazos de garantia </w:t>
            </w:r>
            <w:r w:rsidRPr="00826E47">
              <w:rPr>
                <w:rStyle w:val="Forte"/>
                <w:rFonts w:cs="Arial"/>
                <w:b/>
                <w:szCs w:val="20"/>
              </w:rPr>
              <w:t>recomendados</w:t>
            </w: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Merge/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931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1 ano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2 anos</w:t>
            </w:r>
          </w:p>
        </w:tc>
        <w:tc>
          <w:tcPr>
            <w:tcW w:w="1561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3 anos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87574">
            <w:pPr>
              <w:widowControl w:val="0"/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26E47">
              <w:rPr>
                <w:rFonts w:cs="Arial"/>
                <w:b/>
                <w:bCs/>
                <w:szCs w:val="20"/>
              </w:rPr>
              <w:t>5 anos</w:t>
            </w: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Forros de gesso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Fissuras por acomodação dos elementos estruturais e de vedação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0F4DD4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Forros de madeira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Empenamento, trincas na madeira e destacamento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Pintura/verniz (interna/externa)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Empolamento, descascamento, esfarelamento, alteração de cor ou deterioração de acabamento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tcBorders>
              <w:bottom w:val="single" w:sz="6" w:space="0" w:color="auto"/>
            </w:tcBorders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Selantes, componentes de juntas</w:t>
            </w:r>
            <w:r w:rsidRPr="00826E47">
              <w:rPr>
                <w:rFonts w:cs="Arial"/>
                <w:szCs w:val="20"/>
              </w:rPr>
              <w:br/>
              <w:t>e rejuntamentos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Aderência</w:t>
            </w:r>
          </w:p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318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Vidros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Cs w:val="20"/>
              </w:rPr>
            </w:pPr>
            <w:r w:rsidRPr="00826E47">
              <w:rPr>
                <w:rFonts w:cs="Arial"/>
                <w:szCs w:val="20"/>
              </w:rPr>
              <w:t>Fixação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112540" w:rsidRPr="00826E47" w:rsidRDefault="00112540" w:rsidP="00112540">
            <w:pPr>
              <w:widowControl w:val="0"/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112540" w:rsidRPr="00826E47" w:rsidTr="00112540">
        <w:trPr>
          <w:cantSplit/>
          <w:jc w:val="center"/>
        </w:trPr>
        <w:tc>
          <w:tcPr>
            <w:tcW w:w="1000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12540" w:rsidRPr="00A2648B" w:rsidRDefault="00112540" w:rsidP="00112540">
            <w:pPr>
              <w:widowControl w:val="0"/>
              <w:spacing w:before="120" w:after="120" w:line="240" w:lineRule="auto"/>
              <w:rPr>
                <w:rStyle w:val="nfaseIntensa"/>
                <w:b w:val="0"/>
                <w:i w:val="0"/>
              </w:rPr>
            </w:pPr>
            <w:r w:rsidRPr="00A2648B">
              <w:rPr>
                <w:rStyle w:val="nfaseIntensa"/>
                <w:b w:val="0"/>
                <w:i w:val="0"/>
              </w:rPr>
              <w:t>NOTA Recomenda-se que quaisquer falhas perceptíveis visualmente, tais como riscos, lascas, trincas em vidros, etc, sejam explicitadas no termo de entrega.</w:t>
            </w:r>
          </w:p>
        </w:tc>
      </w:tr>
    </w:tbl>
    <w:p w:rsidR="00113302" w:rsidRDefault="00113302"/>
    <w:sectPr w:rsidR="00113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40"/>
    <w:rsid w:val="00112540"/>
    <w:rsid w:val="00113302"/>
    <w:rsid w:val="00247A6C"/>
    <w:rsid w:val="00A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40"/>
    <w:pPr>
      <w:spacing w:after="200" w:line="276" w:lineRule="auto"/>
    </w:pPr>
    <w:rPr>
      <w:rFonts w:eastAsiaTheme="minorEastAsia"/>
      <w:noProof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Adicionado"/>
    <w:qFormat/>
    <w:rsid w:val="00112540"/>
    <w:rPr>
      <w:rFonts w:ascii="Arial" w:hAnsi="Arial"/>
      <w:dstrike w:val="0"/>
      <w:color w:val="auto"/>
      <w:sz w:val="20"/>
      <w:vertAlign w:val="baseline"/>
      <w:lang w:val="pt-BR"/>
    </w:rPr>
  </w:style>
  <w:style w:type="paragraph" w:customStyle="1" w:styleId="Tabela-Ttulosemnumerao">
    <w:name w:val="Tabela - Título sem numeração"/>
    <w:basedOn w:val="Normal"/>
    <w:rsid w:val="00112540"/>
    <w:pPr>
      <w:spacing w:before="120" w:after="120" w:line="230" w:lineRule="atLeast"/>
      <w:jc w:val="center"/>
    </w:pPr>
    <w:rPr>
      <w:rFonts w:ascii="Arial" w:eastAsia="Times New Roman" w:hAnsi="Arial" w:cs="Times New Roman"/>
      <w:b/>
      <w:szCs w:val="24"/>
    </w:rPr>
  </w:style>
  <w:style w:type="character" w:styleId="nfaseIntensa">
    <w:name w:val="Intense Emphasis"/>
    <w:uiPriority w:val="21"/>
    <w:qFormat/>
    <w:rsid w:val="00112540"/>
    <w:rPr>
      <w:b/>
      <w:bCs/>
      <w:i/>
      <w:iCs/>
      <w:color w:val="4F81BD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125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12540"/>
    <w:rPr>
      <w:rFonts w:eastAsiaTheme="minorEastAsia"/>
      <w:noProof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40"/>
    <w:pPr>
      <w:spacing w:after="200" w:line="276" w:lineRule="auto"/>
    </w:pPr>
    <w:rPr>
      <w:rFonts w:eastAsiaTheme="minorEastAsia"/>
      <w:noProof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Adicionado"/>
    <w:qFormat/>
    <w:rsid w:val="00112540"/>
    <w:rPr>
      <w:rFonts w:ascii="Arial" w:hAnsi="Arial"/>
      <w:dstrike w:val="0"/>
      <w:color w:val="auto"/>
      <w:sz w:val="20"/>
      <w:vertAlign w:val="baseline"/>
      <w:lang w:val="pt-BR"/>
    </w:rPr>
  </w:style>
  <w:style w:type="paragraph" w:customStyle="1" w:styleId="Tabela-Ttulosemnumerao">
    <w:name w:val="Tabela - Título sem numeração"/>
    <w:basedOn w:val="Normal"/>
    <w:rsid w:val="00112540"/>
    <w:pPr>
      <w:spacing w:before="120" w:after="120" w:line="230" w:lineRule="atLeast"/>
      <w:jc w:val="center"/>
    </w:pPr>
    <w:rPr>
      <w:rFonts w:ascii="Arial" w:eastAsia="Times New Roman" w:hAnsi="Arial" w:cs="Times New Roman"/>
      <w:b/>
      <w:szCs w:val="24"/>
    </w:rPr>
  </w:style>
  <w:style w:type="character" w:styleId="nfaseIntensa">
    <w:name w:val="Intense Emphasis"/>
    <w:uiPriority w:val="21"/>
    <w:qFormat/>
    <w:rsid w:val="00112540"/>
    <w:rPr>
      <w:b/>
      <w:bCs/>
      <w:i/>
      <w:iCs/>
      <w:color w:val="4F81BD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125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12540"/>
    <w:rPr>
      <w:rFonts w:eastAsiaTheme="minorEastAsia"/>
      <w:noProof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Ivanor</dc:creator>
  <cp:lastModifiedBy>Comunica2</cp:lastModifiedBy>
  <cp:revision>2</cp:revision>
  <dcterms:created xsi:type="dcterms:W3CDTF">2015-10-19T13:36:00Z</dcterms:created>
  <dcterms:modified xsi:type="dcterms:W3CDTF">2015-10-19T13:36:00Z</dcterms:modified>
</cp:coreProperties>
</file>